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charts/colors1.xml" ContentType="application/vnd.ms-office.chartcolorstyle+xml"/>
  <Override PartName="/word/charts/style1.xml" ContentType="application/vnd.ms-office.chartstyl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5B6" w:rsidRDefault="002835B6" w:rsidP="002835B6">
      <w:pPr>
        <w:widowControl w:val="0"/>
        <w:rPr>
          <w:b/>
          <w:bCs/>
          <w:sz w:val="24"/>
          <w:szCs w:val="24"/>
          <w14:ligatures w14:val="none"/>
        </w:rPr>
      </w:pPr>
      <w:r w:rsidRPr="002835B6">
        <w:rPr>
          <w:rStyle w:val="Heading1Char"/>
        </w:rPr>
        <w:t>What is disproportionate impact?</w:t>
      </w:r>
      <w:r>
        <w:rPr>
          <w:b/>
          <w:bCs/>
          <w:sz w:val="24"/>
          <w:szCs w:val="24"/>
          <w14:ligatures w14:val="none"/>
        </w:rPr>
        <w:t xml:space="preserve"> </w:t>
      </w:r>
    </w:p>
    <w:p w:rsidR="002835B6" w:rsidRDefault="002835B6" w:rsidP="002835B6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Disproportionate impact is when a population of students significantly underperforms the highest performing g</w:t>
      </w:r>
      <w:r w:rsidR="00DB6444">
        <w:rPr>
          <w:sz w:val="24"/>
          <w:szCs w:val="24"/>
          <w14:ligatures w14:val="none"/>
        </w:rPr>
        <w:t xml:space="preserve">roup of students.  The current </w:t>
      </w:r>
      <w:r>
        <w:rPr>
          <w:sz w:val="24"/>
          <w:szCs w:val="24"/>
          <w14:ligatures w14:val="none"/>
        </w:rPr>
        <w:t xml:space="preserve">threshold for a group to be disproportionately impacted is 80%. This means that when a group of students performs at a level that is only 80% of the highest performing group, they are disproportionately impacted. </w:t>
      </w:r>
    </w:p>
    <w:p w:rsidR="002835B6" w:rsidRDefault="002835B6" w:rsidP="002835B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166F12" w:rsidRDefault="002835B6" w:rsidP="002835B6">
      <w:pPr>
        <w:pStyle w:val="Heading2"/>
      </w:pPr>
      <w:r>
        <w:t xml:space="preserve">For example: </w:t>
      </w:r>
    </w:p>
    <w:p w:rsidR="002835B6" w:rsidRPr="00DB6444" w:rsidRDefault="002835B6">
      <w:pPr>
        <w:rPr>
          <w:sz w:val="24"/>
          <w:szCs w:val="24"/>
        </w:rPr>
      </w:pPr>
      <w:r w:rsidRPr="00DB6444">
        <w:rPr>
          <w:sz w:val="24"/>
          <w:szCs w:val="24"/>
        </w:rPr>
        <w:t xml:space="preserve">In Fall 2015, when we disaggregated by race, Asian students were the most successful group in terms of course completion at 79.7% successful completion.  If we were to compare Pacific Islander (55.17% success rate) achievement rates to the Asian subgroup, you can see that there is a significant gap between the two groups of students. </w:t>
      </w:r>
    </w:p>
    <w:p w:rsidR="002835B6" w:rsidRDefault="002835B6" w:rsidP="002835B6">
      <w:pPr>
        <w:keepNext/>
      </w:pPr>
      <w:r>
        <w:rPr>
          <w:noProof/>
          <w14:ligatures w14:val="none"/>
          <w14:cntxtAlts w14:val="0"/>
        </w:rPr>
        <w:drawing>
          <wp:inline distT="0" distB="0" distL="0" distR="0" wp14:anchorId="2267D734" wp14:editId="04B7BD09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835B6" w:rsidRDefault="002835B6" w:rsidP="002835B6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- Comparison of Student Success Rate- Asian vs. Pacific Islander</w:t>
      </w:r>
    </w:p>
    <w:p w:rsidR="00DB6444" w:rsidRDefault="00DB6444" w:rsidP="00DB6444">
      <w:pPr>
        <w:rPr>
          <w:sz w:val="24"/>
          <w:szCs w:val="24"/>
        </w:rPr>
      </w:pPr>
      <w:r w:rsidRPr="00DB6444">
        <w:rPr>
          <w:sz w:val="24"/>
          <w:szCs w:val="24"/>
        </w:rPr>
        <w:t>To assess disproportionate impact, we take the highest achieving group (Asians) and use them as the reference group. Then take the success rate for the group you are considering (Pacific Islanders)</w:t>
      </w:r>
      <w:r>
        <w:rPr>
          <w:sz w:val="24"/>
          <w:szCs w:val="24"/>
        </w:rPr>
        <w:t xml:space="preserve"> and divide that percentage by the percentage of the reference group. </w:t>
      </w:r>
    </w:p>
    <w:p w:rsidR="00DB6444" w:rsidRPr="00DB6444" w:rsidRDefault="00DB6444" w:rsidP="00DB6444">
      <w:pPr>
        <w:rPr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55.17 (Pacific Islanders)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79.70 (Asian Reference Group)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=.692</m:t>
          </m:r>
        </m:oMath>
      </m:oMathPara>
    </w:p>
    <w:p w:rsidR="00DB6444" w:rsidRDefault="00DB6444" w:rsidP="00DB6444">
      <w:pPr>
        <w:rPr>
          <w:sz w:val="24"/>
          <w:szCs w:val="24"/>
        </w:rPr>
      </w:pPr>
      <w:r>
        <w:rPr>
          <w:sz w:val="24"/>
          <w:szCs w:val="24"/>
        </w:rPr>
        <w:t>.692 is below .8 (80%) and so we can say that with regard to course completion, Pacific Islander students are disproportionately impacted. There is a significant gap between successful course completion for Asian students and Pacific Islanders.</w:t>
      </w:r>
    </w:p>
    <w:p w:rsidR="00DB6444" w:rsidRDefault="00DB6444" w:rsidP="00DB6444">
      <w:pPr>
        <w:pStyle w:val="Heading2"/>
      </w:pPr>
      <w:r>
        <w:lastRenderedPageBreak/>
        <w:t>Important Considerations</w:t>
      </w:r>
    </w:p>
    <w:p w:rsidR="00DB6444" w:rsidRDefault="00DB6444" w:rsidP="00DB644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number of students in the reference group matters.  It is generally good to select a group that has more than 30 members in the population.  If you choose a group that has too few students, your data could be significantly skewed and will not adequately represent disproportionate impact.</w:t>
      </w:r>
    </w:p>
    <w:p w:rsidR="00DB6444" w:rsidRPr="00DB6444" w:rsidRDefault="00DB6444" w:rsidP="00DB644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assess disproportionate impact for course completion you can use the </w:t>
      </w:r>
      <w:hyperlink r:id="rId6" w:anchor="!/vizhome/shared/3WNQ22RSX" w:history="1">
        <w:r w:rsidRPr="00DB6444">
          <w:rPr>
            <w:rStyle w:val="Hyperlink"/>
            <w:sz w:val="24"/>
            <w:szCs w:val="24"/>
          </w:rPr>
          <w:t>SEAT tool</w:t>
        </w:r>
      </w:hyperlink>
      <w:r>
        <w:rPr>
          <w:sz w:val="24"/>
          <w:szCs w:val="24"/>
        </w:rPr>
        <w:t xml:space="preserve"> and to examine disproportionate impact for Degrees and Certificates, you can use the </w:t>
      </w:r>
      <w:hyperlink r:id="rId7" w:anchor="!/vizhome/DegreesCertificatesAwarded/DegreesAwarded" w:history="1">
        <w:r w:rsidRPr="00DB6444">
          <w:rPr>
            <w:rStyle w:val="Hyperlink"/>
            <w:sz w:val="24"/>
            <w:szCs w:val="24"/>
          </w:rPr>
          <w:t>Degree and Certificate Tool</w:t>
        </w:r>
      </w:hyperlink>
      <w:bookmarkStart w:id="0" w:name="_GoBack"/>
      <w:bookmarkEnd w:id="0"/>
      <w:r>
        <w:rPr>
          <w:sz w:val="24"/>
          <w:szCs w:val="24"/>
        </w:rPr>
        <w:t>.</w:t>
      </w:r>
    </w:p>
    <w:sectPr w:rsidR="00DB6444" w:rsidRPr="00DB6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2A06"/>
    <w:multiLevelType w:val="hybridMultilevel"/>
    <w:tmpl w:val="ADFA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B6"/>
    <w:rsid w:val="0000611F"/>
    <w:rsid w:val="002835B6"/>
    <w:rsid w:val="00B86EE6"/>
    <w:rsid w:val="00DB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A55FB"/>
  <w15:chartTrackingRefBased/>
  <w15:docId w15:val="{52B4AEA0-12E6-426B-9CA8-88B3D937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5B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5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5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B6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2835B6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14:ligatures w14:val="standard"/>
      <w14:cntxtAlts/>
    </w:rPr>
  </w:style>
  <w:style w:type="paragraph" w:styleId="Caption">
    <w:name w:val="caption"/>
    <w:basedOn w:val="Normal"/>
    <w:next w:val="Normal"/>
    <w:uiPriority w:val="35"/>
    <w:unhideWhenUsed/>
    <w:qFormat/>
    <w:rsid w:val="002835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B6444"/>
    <w:rPr>
      <w:color w:val="808080"/>
    </w:rPr>
  </w:style>
  <w:style w:type="paragraph" w:styleId="ListParagraph">
    <w:name w:val="List Paragraph"/>
    <w:basedOn w:val="Normal"/>
    <w:uiPriority w:val="34"/>
    <w:qFormat/>
    <w:rsid w:val="00DB64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64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public.tableau.com/profile/sacresearch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.tableau.com/profile/sacresearch" TargetMode="External"/><Relationship Id="rId11" Type="http://schemas.openxmlformats.org/officeDocument/2006/relationships/customXml" Target="../customXml/item2.xml"/><Relationship Id="rId5" Type="http://schemas.openxmlformats.org/officeDocument/2006/relationships/chart" Target="charts/chart1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Success Rate Disaggregated</a:t>
            </a:r>
            <a:r>
              <a:rPr lang="en-US" baseline="0"/>
              <a:t> by Race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Success Rate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Asian</c:v>
                </c:pt>
                <c:pt idx="1">
                  <c:v>Pacific Islander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0.79700000000000004</c:v>
                </c:pt>
                <c:pt idx="1">
                  <c:v>0.55169999999999997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D9-4CFB-B2A9-7D106854EE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0774808"/>
        <c:axId val="530770544"/>
      </c:barChart>
      <c:catAx>
        <c:axId val="530774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0770544"/>
        <c:crosses val="autoZero"/>
        <c:auto val="1"/>
        <c:lblAlgn val="ctr"/>
        <c:lblOffset val="100"/>
        <c:noMultiLvlLbl val="0"/>
      </c:catAx>
      <c:valAx>
        <c:axId val="530770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Percentage</a:t>
                </a:r>
                <a:r>
                  <a:rPr lang="en-US" baseline="0"/>
                  <a:t> of Student with A, B, C or P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0774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8D5515044F14497D63F7870A78B08" ma:contentTypeVersion="1" ma:contentTypeDescription="Create a new document." ma:contentTypeScope="" ma:versionID="18f3a6ae4a4b209103786997e2210612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554a16bfa8526d0e4644be6de2455f93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HNYXMCCMVK3K-1692265542-1</_dlc_DocId>
    <_dlc_DocIdUrl xmlns="431189f8-a51b-453f-9f0c-3a0b3b65b12f">
      <Url>http://sac.edu/StudentServices/equity/_layouts/15/DocIdRedir.aspx?ID=HNYXMCCMVK3K-1692265542-1</Url>
      <Description>HNYXMCCMVK3K-1692265542-1</Description>
    </_dlc_DocIdUrl>
  </documentManagement>
</p:properties>
</file>

<file path=customXml/itemProps1.xml><?xml version="1.0" encoding="utf-8"?>
<ds:datastoreItem xmlns:ds="http://schemas.openxmlformats.org/officeDocument/2006/customXml" ds:itemID="{DFA7AD22-6C66-4785-8717-99B3290A3AE7}"/>
</file>

<file path=customXml/itemProps2.xml><?xml version="1.0" encoding="utf-8"?>
<ds:datastoreItem xmlns:ds="http://schemas.openxmlformats.org/officeDocument/2006/customXml" ds:itemID="{F7CEFF1A-AAFE-40F4-87D8-694407AE87D1}"/>
</file>

<file path=customXml/itemProps3.xml><?xml version="1.0" encoding="utf-8"?>
<ds:datastoreItem xmlns:ds="http://schemas.openxmlformats.org/officeDocument/2006/customXml" ds:itemID="{B9D2224E-93CA-4603-AB83-A8CAB85AC379}"/>
</file>

<file path=customXml/itemProps4.xml><?xml version="1.0" encoding="utf-8"?>
<ds:datastoreItem xmlns:ds="http://schemas.openxmlformats.org/officeDocument/2006/customXml" ds:itemID="{02B6D157-CC61-4144-B02C-730CBE3507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Sweeney, George</dc:creator>
  <cp:keywords/>
  <dc:description/>
  <cp:lastModifiedBy>Sweeney, George</cp:lastModifiedBy>
  <cp:revision>1</cp:revision>
  <dcterms:created xsi:type="dcterms:W3CDTF">2016-11-02T15:48:00Z</dcterms:created>
  <dcterms:modified xsi:type="dcterms:W3CDTF">2016-11-02T16:10:00Z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0x010100C1B8D5515044F14497D63F7870A78B08</vt:lpwstr>
  </property>
  <property fmtid="{D5CDD505-2E9C-101B-9397-08002B2CF9AE}" pid="3" name="_dlc_DocIdItemGuid">
    <vt:lpwstr>6e72c6c3-b3d6-49a7-90ca-62412bbda804</vt:lpwstr>
  </property>
</Properties>
</file>